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B1" w:rsidRPr="002E07B1" w:rsidRDefault="002E07B1">
      <w:pPr>
        <w:pStyle w:val="ConsPlusNormal"/>
        <w:jc w:val="both"/>
        <w:rPr>
          <w:rFonts w:asciiTheme="minorHAnsi" w:hAnsiTheme="minorHAnsi"/>
        </w:rPr>
      </w:pPr>
    </w:p>
    <w:p w:rsidR="002E07B1" w:rsidRPr="002E07B1" w:rsidRDefault="002E07B1">
      <w:pPr>
        <w:pStyle w:val="ConsPlusTitle"/>
        <w:jc w:val="center"/>
        <w:rPr>
          <w:rFonts w:asciiTheme="minorHAnsi" w:hAnsiTheme="minorHAnsi"/>
        </w:rPr>
      </w:pPr>
      <w:r w:rsidRPr="002E07B1">
        <w:rPr>
          <w:rFonts w:asciiTheme="minorHAnsi" w:hAnsiTheme="minorHAnsi"/>
        </w:rPr>
        <w:t>ЗАКОН</w:t>
      </w:r>
    </w:p>
    <w:p w:rsidR="002E07B1" w:rsidRPr="002E07B1" w:rsidRDefault="002E07B1">
      <w:pPr>
        <w:pStyle w:val="ConsPlusTitle"/>
        <w:jc w:val="center"/>
        <w:rPr>
          <w:rFonts w:asciiTheme="minorHAnsi" w:hAnsiTheme="minorHAnsi"/>
        </w:rPr>
      </w:pPr>
      <w:r w:rsidRPr="002E07B1">
        <w:rPr>
          <w:rFonts w:asciiTheme="minorHAnsi" w:hAnsiTheme="minorHAnsi"/>
        </w:rPr>
        <w:t>ВОЛГОГРАДСКОЙ ОБЛАСТИ</w:t>
      </w:r>
    </w:p>
    <w:p w:rsidR="002E07B1" w:rsidRPr="002E07B1" w:rsidRDefault="002E07B1">
      <w:pPr>
        <w:pStyle w:val="ConsPlusTitle"/>
        <w:jc w:val="both"/>
        <w:rPr>
          <w:rFonts w:asciiTheme="minorHAnsi" w:hAnsiTheme="minorHAnsi"/>
        </w:rPr>
      </w:pPr>
    </w:p>
    <w:p w:rsidR="002E07B1" w:rsidRPr="002E07B1" w:rsidRDefault="002E07B1">
      <w:pPr>
        <w:pStyle w:val="ConsPlusTitle"/>
        <w:jc w:val="center"/>
        <w:rPr>
          <w:rFonts w:asciiTheme="minorHAnsi" w:hAnsiTheme="minorHAnsi"/>
        </w:rPr>
      </w:pPr>
      <w:r w:rsidRPr="002E07B1">
        <w:rPr>
          <w:rFonts w:asciiTheme="minorHAnsi" w:hAnsiTheme="minorHAnsi"/>
        </w:rPr>
        <w:t>О ВНЕСЕНИИ ИЗМЕНЕНИЙ В ЗАКОН ВОЛГОГРАДСКОЙ ОБЛАСТИ ОТ 28</w:t>
      </w:r>
    </w:p>
    <w:p w:rsidR="002E07B1" w:rsidRPr="002E07B1" w:rsidRDefault="002E07B1">
      <w:pPr>
        <w:pStyle w:val="ConsPlusTitle"/>
        <w:jc w:val="center"/>
        <w:rPr>
          <w:rFonts w:asciiTheme="minorHAnsi" w:hAnsiTheme="minorHAnsi"/>
        </w:rPr>
      </w:pPr>
      <w:r w:rsidRPr="002E07B1">
        <w:rPr>
          <w:rFonts w:asciiTheme="minorHAnsi" w:hAnsiTheme="minorHAnsi"/>
        </w:rPr>
        <w:t>НОЯБРЯ 2003 Г. N 888-ОД "О НАЛОГЕ НА ИМУЩЕСТВО ОРГАНИЗАЦИЙ"</w:t>
      </w:r>
    </w:p>
    <w:p w:rsidR="002E07B1" w:rsidRPr="002E07B1" w:rsidRDefault="002E07B1">
      <w:pPr>
        <w:pStyle w:val="ConsPlusNormal"/>
        <w:jc w:val="both"/>
        <w:rPr>
          <w:rFonts w:asciiTheme="minorHAnsi" w:hAnsiTheme="minorHAnsi"/>
        </w:rPr>
      </w:pPr>
    </w:p>
    <w:p w:rsidR="002E07B1" w:rsidRPr="002E07B1" w:rsidRDefault="002E07B1">
      <w:pPr>
        <w:pStyle w:val="ConsPlusNormal"/>
        <w:jc w:val="right"/>
        <w:rPr>
          <w:rFonts w:asciiTheme="minorHAnsi" w:hAnsiTheme="minorHAnsi"/>
        </w:rPr>
      </w:pPr>
      <w:r w:rsidRPr="002E07B1">
        <w:rPr>
          <w:rFonts w:asciiTheme="minorHAnsi" w:hAnsiTheme="minorHAnsi"/>
        </w:rPr>
        <w:t>Принят</w:t>
      </w:r>
    </w:p>
    <w:p w:rsidR="002E07B1" w:rsidRPr="002E07B1" w:rsidRDefault="002E07B1">
      <w:pPr>
        <w:pStyle w:val="ConsPlusNormal"/>
        <w:jc w:val="right"/>
        <w:rPr>
          <w:rFonts w:asciiTheme="minorHAnsi" w:hAnsiTheme="minorHAnsi"/>
        </w:rPr>
      </w:pPr>
      <w:r w:rsidRPr="002E07B1">
        <w:rPr>
          <w:rFonts w:asciiTheme="minorHAnsi" w:hAnsiTheme="minorHAnsi"/>
        </w:rPr>
        <w:t>Волгоградской</w:t>
      </w:r>
    </w:p>
    <w:p w:rsidR="002E07B1" w:rsidRPr="002E07B1" w:rsidRDefault="002E07B1">
      <w:pPr>
        <w:pStyle w:val="ConsPlusNormal"/>
        <w:jc w:val="right"/>
        <w:rPr>
          <w:rFonts w:asciiTheme="minorHAnsi" w:hAnsiTheme="minorHAnsi"/>
        </w:rPr>
      </w:pPr>
      <w:r w:rsidRPr="002E07B1">
        <w:rPr>
          <w:rFonts w:asciiTheme="minorHAnsi" w:hAnsiTheme="minorHAnsi"/>
        </w:rPr>
        <w:t>областной Думой</w:t>
      </w:r>
    </w:p>
    <w:p w:rsidR="002E07B1" w:rsidRPr="002E07B1" w:rsidRDefault="002E07B1">
      <w:pPr>
        <w:pStyle w:val="ConsPlusNormal"/>
        <w:jc w:val="right"/>
        <w:rPr>
          <w:rFonts w:asciiTheme="minorHAnsi" w:hAnsiTheme="minorHAnsi"/>
        </w:rPr>
      </w:pPr>
      <w:r w:rsidRPr="002E07B1">
        <w:rPr>
          <w:rFonts w:asciiTheme="minorHAnsi" w:hAnsiTheme="minorHAnsi"/>
        </w:rPr>
        <w:t>24 декабря 2020 года</w:t>
      </w:r>
    </w:p>
    <w:p w:rsidR="002E07B1" w:rsidRPr="002E07B1" w:rsidRDefault="002E07B1">
      <w:pPr>
        <w:pStyle w:val="ConsPlusNormal"/>
        <w:jc w:val="both"/>
        <w:rPr>
          <w:rFonts w:asciiTheme="minorHAnsi" w:hAnsiTheme="minorHAnsi"/>
        </w:rPr>
      </w:pPr>
    </w:p>
    <w:p w:rsidR="002E07B1" w:rsidRPr="002E07B1" w:rsidRDefault="002E07B1">
      <w:pPr>
        <w:pStyle w:val="ConsPlusTitle"/>
        <w:ind w:firstLine="540"/>
        <w:jc w:val="both"/>
        <w:outlineLvl w:val="0"/>
        <w:rPr>
          <w:rFonts w:asciiTheme="minorHAnsi" w:hAnsiTheme="minorHAnsi"/>
          <w:color w:val="000000" w:themeColor="text1"/>
        </w:rPr>
      </w:pPr>
      <w:r w:rsidRPr="002E07B1">
        <w:rPr>
          <w:rFonts w:asciiTheme="minorHAnsi" w:hAnsiTheme="minorHAnsi"/>
          <w:color w:val="000000" w:themeColor="text1"/>
        </w:rPr>
        <w:t>Статья 1</w:t>
      </w:r>
    </w:p>
    <w:p w:rsidR="002E07B1" w:rsidRPr="002E07B1" w:rsidRDefault="002E07B1">
      <w:pPr>
        <w:pStyle w:val="ConsPlusNormal"/>
        <w:jc w:val="both"/>
        <w:rPr>
          <w:rFonts w:asciiTheme="minorHAnsi" w:hAnsiTheme="minorHAnsi"/>
          <w:color w:val="000000" w:themeColor="text1"/>
        </w:rPr>
      </w:pPr>
    </w:p>
    <w:p w:rsidR="002E07B1" w:rsidRPr="002E07B1" w:rsidRDefault="002E07B1">
      <w:pPr>
        <w:pStyle w:val="ConsPlusNormal"/>
        <w:ind w:firstLine="540"/>
        <w:jc w:val="both"/>
        <w:rPr>
          <w:rFonts w:asciiTheme="minorHAnsi" w:hAnsiTheme="minorHAnsi"/>
          <w:color w:val="000000" w:themeColor="text1"/>
        </w:rPr>
      </w:pPr>
      <w:r w:rsidRPr="002E07B1">
        <w:rPr>
          <w:rFonts w:asciiTheme="minorHAnsi" w:hAnsiTheme="minorHAnsi"/>
          <w:color w:val="000000" w:themeColor="text1"/>
        </w:rPr>
        <w:t xml:space="preserve">Внести в </w:t>
      </w:r>
      <w:hyperlink r:id="rId4" w:history="1">
        <w:r w:rsidRPr="002E07B1">
          <w:rPr>
            <w:rFonts w:asciiTheme="minorHAnsi" w:hAnsiTheme="minorHAnsi"/>
            <w:color w:val="000000" w:themeColor="text1"/>
          </w:rPr>
          <w:t>Закон</w:t>
        </w:r>
      </w:hyperlink>
      <w:r w:rsidRPr="002E07B1">
        <w:rPr>
          <w:rFonts w:asciiTheme="minorHAnsi" w:hAnsiTheme="minorHAnsi"/>
          <w:color w:val="000000" w:themeColor="text1"/>
        </w:rPr>
        <w:t xml:space="preserve"> Волгоградской области от 28 ноября 2003 г. N 888-ОД "О налоге на имущество организаций" (в редакции от 26 апреля 2004 г. N 915-ОД, от 13 июля 2004 г. N 932-ОД, от 19 октября 2004 г. N 949-ОД, от 05 мая 2005 г. N 1052-ОД, от 22 ноября 2005 г. N 1123-ОД, от 11 апреля 2006 г. N 1210-ОД, от 14 июля 2006 г. N 1257-ОД, от 18 октября 2006 г. N 1298-ОД, от 13 августа 2007 г. N 1519-ОД, от 21 августа 2007 г. N 1527-ОД (в редакции от 29 ноября 2007 г. N 1574-ОД), от 07 апреля 2008 г. N 1654-ОД, от 11 июня 2008 г. N 1705-ОД, от 16 февраля 2009 г. N 1850-ОД, от 27 ноября 2009 г. N 1961-ОД, от 09 ноября 2010 г. N 2113-ОД, от 30 ноября 2010 г. N 2128-ОД, от 12 февраля 2014 г. N 27-ОД, от 26 декабря 2014 г. N 191-ОД, от 10 сентября 2015 г. N 150-ОД, от 12 ноября 2015 г. N 195-ОД, от 13 апреля 2016 г. N 22-ОД, от 03 октября 2016 г. N 87-ОД, от 06 октября 2016 г. N 91-ОД, от 28 ноября 2016 г. N 114-ОД, от 06 февраля 2017 г. N 11-ОД, от 06 марта 2017 г. N 20-ОД, от 27 сентября 2017 г. N 78-ОД, от 19 октября 2017 г. N 86-ОД, от 17 ноября 2017 г. N 107-ОД, от 29 ноября 2017 г. N 116-ОД, от 30 октября 2018 г. N 119-ОД, от 26 ноября 2018 г. N 125-ОД, от 24 декабря 2018 г. N 155-ОД, от 14 февраля 2019 г. N 4-ОД, от 18 июля 2019 г. N 65-ОД, от 18 октября 2019 г. N 86-ОД, от 26 ноября 2019 г. N 121-ОД, от 26 ноября 2019 г. N 122-ОД, от 26 декабря 2019 г. N 134-ОД, от 13 марта 2020 г. N 18-ОД, от 19 июня 2020 г. N 41-ОД, от 04 декабря 2020 г. N 109-ОД) следующие изменения:</w:t>
      </w:r>
    </w:p>
    <w:p w:rsidR="002E07B1" w:rsidRPr="002E07B1" w:rsidRDefault="002E07B1">
      <w:pPr>
        <w:pStyle w:val="ConsPlusNormal"/>
        <w:spacing w:before="220"/>
        <w:ind w:firstLine="540"/>
        <w:jc w:val="both"/>
        <w:rPr>
          <w:rFonts w:asciiTheme="minorHAnsi" w:hAnsiTheme="minorHAnsi"/>
          <w:color w:val="000000" w:themeColor="text1"/>
        </w:rPr>
      </w:pPr>
      <w:r w:rsidRPr="002E07B1">
        <w:rPr>
          <w:rFonts w:asciiTheme="minorHAnsi" w:hAnsiTheme="minorHAnsi"/>
          <w:color w:val="000000" w:themeColor="text1"/>
        </w:rPr>
        <w:t xml:space="preserve">1) в </w:t>
      </w:r>
      <w:hyperlink r:id="rId5" w:history="1">
        <w:r w:rsidRPr="002E07B1">
          <w:rPr>
            <w:rFonts w:asciiTheme="minorHAnsi" w:hAnsiTheme="minorHAnsi"/>
            <w:color w:val="000000" w:themeColor="text1"/>
          </w:rPr>
          <w:t>статье 1</w:t>
        </w:r>
      </w:hyperlink>
      <w:r w:rsidRPr="002E07B1">
        <w:rPr>
          <w:rFonts w:asciiTheme="minorHAnsi" w:hAnsiTheme="minorHAnsi"/>
          <w:color w:val="000000" w:themeColor="text1"/>
        </w:rPr>
        <w:t>:</w:t>
      </w:r>
    </w:p>
    <w:p w:rsidR="002E07B1" w:rsidRPr="002E07B1" w:rsidRDefault="002E07B1">
      <w:pPr>
        <w:pStyle w:val="ConsPlusNormal"/>
        <w:spacing w:before="220"/>
        <w:ind w:firstLine="540"/>
        <w:jc w:val="both"/>
        <w:rPr>
          <w:rFonts w:asciiTheme="minorHAnsi" w:hAnsiTheme="minorHAnsi"/>
          <w:color w:val="000000" w:themeColor="text1"/>
        </w:rPr>
      </w:pPr>
      <w:r w:rsidRPr="002E07B1">
        <w:rPr>
          <w:rFonts w:asciiTheme="minorHAnsi" w:hAnsiTheme="minorHAnsi"/>
          <w:color w:val="000000" w:themeColor="text1"/>
        </w:rPr>
        <w:t xml:space="preserve">в </w:t>
      </w:r>
      <w:hyperlink r:id="rId6" w:history="1">
        <w:r w:rsidRPr="002E07B1">
          <w:rPr>
            <w:rFonts w:asciiTheme="minorHAnsi" w:hAnsiTheme="minorHAnsi"/>
            <w:color w:val="000000" w:themeColor="text1"/>
          </w:rPr>
          <w:t>части пятой</w:t>
        </w:r>
      </w:hyperlink>
      <w:r w:rsidRPr="002E07B1">
        <w:rPr>
          <w:rFonts w:asciiTheme="minorHAnsi" w:hAnsiTheme="minorHAnsi"/>
          <w:color w:val="000000" w:themeColor="text1"/>
        </w:rPr>
        <w:t xml:space="preserve"> слова "жилых домов, квартир и комнат" заменить словами "жилых помещений";</w:t>
      </w:r>
    </w:p>
    <w:p w:rsidR="002E07B1" w:rsidRPr="002E07B1" w:rsidRDefault="002E07B1">
      <w:pPr>
        <w:pStyle w:val="ConsPlusNormal"/>
        <w:spacing w:before="220"/>
        <w:ind w:firstLine="540"/>
        <w:jc w:val="both"/>
        <w:rPr>
          <w:rFonts w:asciiTheme="minorHAnsi" w:hAnsiTheme="minorHAnsi"/>
          <w:color w:val="000000" w:themeColor="text1"/>
        </w:rPr>
      </w:pPr>
      <w:hyperlink r:id="rId7" w:history="1">
        <w:r w:rsidRPr="002E07B1">
          <w:rPr>
            <w:rFonts w:asciiTheme="minorHAnsi" w:hAnsiTheme="minorHAnsi"/>
            <w:color w:val="000000" w:themeColor="text1"/>
          </w:rPr>
          <w:t>дополнить</w:t>
        </w:r>
      </w:hyperlink>
      <w:r w:rsidRPr="002E07B1">
        <w:rPr>
          <w:rFonts w:asciiTheme="minorHAnsi" w:hAnsiTheme="minorHAnsi"/>
          <w:color w:val="000000" w:themeColor="text1"/>
        </w:rPr>
        <w:t xml:space="preserve"> новыми частями седьмой - девятой следующего содержания:</w:t>
      </w:r>
    </w:p>
    <w:p w:rsidR="002E07B1" w:rsidRPr="002E07B1" w:rsidRDefault="002E07B1">
      <w:pPr>
        <w:pStyle w:val="ConsPlusNormal"/>
        <w:spacing w:before="220"/>
        <w:ind w:firstLine="540"/>
        <w:jc w:val="both"/>
        <w:rPr>
          <w:rFonts w:asciiTheme="minorHAnsi" w:hAnsiTheme="minorHAnsi"/>
          <w:color w:val="000000" w:themeColor="text1"/>
        </w:rPr>
      </w:pPr>
      <w:r w:rsidRPr="002E07B1">
        <w:rPr>
          <w:rFonts w:asciiTheme="minorHAnsi" w:hAnsiTheme="minorHAnsi"/>
          <w:color w:val="000000" w:themeColor="text1"/>
        </w:rPr>
        <w:t>"Для организаций в отношении жилых помещений, принадлежащих им на праве собственности и предоставленных своим работникам или бывшим работникам - пенсионерам по договорам, предусматривающим предоставление жилых помещений для проживания на срок не менее одного года, налоговая ставка устанавливается в размере 0,5 процента в 2020 году, 0,75 процента - в 2021 году, 1 процента - в 2022 году и последующие годы.</w:t>
      </w:r>
    </w:p>
    <w:p w:rsidR="002E07B1" w:rsidRPr="002E07B1" w:rsidRDefault="002E07B1">
      <w:pPr>
        <w:pStyle w:val="ConsPlusNormal"/>
        <w:spacing w:before="220"/>
        <w:ind w:firstLine="540"/>
        <w:jc w:val="both"/>
        <w:rPr>
          <w:rFonts w:asciiTheme="minorHAnsi" w:hAnsiTheme="minorHAnsi"/>
          <w:color w:val="000000" w:themeColor="text1"/>
        </w:rPr>
      </w:pPr>
      <w:r w:rsidRPr="002E07B1">
        <w:rPr>
          <w:rFonts w:asciiTheme="minorHAnsi" w:hAnsiTheme="minorHAnsi"/>
          <w:color w:val="000000" w:themeColor="text1"/>
        </w:rPr>
        <w:t>Право на применение налоговых ставок, предусмотренных частью седьмой настоящей статьи, возникает с первого числа соответствующего налогового периода в случае, если суммарный период предоставления жилого помещения для проживания в течение соответствующего налогового периода составляет не менее шести месяцев.</w:t>
      </w:r>
    </w:p>
    <w:p w:rsidR="002E07B1" w:rsidRPr="002E07B1" w:rsidRDefault="002E07B1">
      <w:pPr>
        <w:pStyle w:val="ConsPlusNormal"/>
        <w:spacing w:before="220"/>
        <w:ind w:firstLine="540"/>
        <w:jc w:val="both"/>
        <w:rPr>
          <w:rFonts w:asciiTheme="minorHAnsi" w:hAnsiTheme="minorHAnsi"/>
          <w:color w:val="000000" w:themeColor="text1"/>
        </w:rPr>
      </w:pPr>
      <w:r w:rsidRPr="002E07B1">
        <w:rPr>
          <w:rFonts w:asciiTheme="minorHAnsi" w:hAnsiTheme="minorHAnsi"/>
          <w:color w:val="000000" w:themeColor="text1"/>
        </w:rPr>
        <w:t>Условиями применения налоговых ставок, предусмотренных частью седьмой настоящей статьи, является представление организациями в налоговый орган вместе с декларацией по налогу на имущество организаций копий договоров, предусматривающих предоставление жилых помещений для проживания на срок не менее одного года, заключенных со своими работниками или бывшими работниками - пенсионерами, актов приема-передачи к указанным договорам, а также соглашений о расторжении указанных договоров (при их наличии).";</w:t>
      </w:r>
    </w:p>
    <w:p w:rsidR="002E07B1" w:rsidRPr="002E07B1" w:rsidRDefault="002E07B1">
      <w:pPr>
        <w:pStyle w:val="ConsPlusNormal"/>
        <w:spacing w:before="220"/>
        <w:ind w:firstLine="540"/>
        <w:jc w:val="both"/>
        <w:rPr>
          <w:rFonts w:asciiTheme="minorHAnsi" w:hAnsiTheme="minorHAnsi"/>
          <w:color w:val="000000" w:themeColor="text1"/>
        </w:rPr>
      </w:pPr>
      <w:hyperlink r:id="rId8" w:history="1">
        <w:r w:rsidRPr="002E07B1">
          <w:rPr>
            <w:rFonts w:asciiTheme="minorHAnsi" w:hAnsiTheme="minorHAnsi"/>
            <w:color w:val="000000" w:themeColor="text1"/>
          </w:rPr>
          <w:t>части седьмую</w:t>
        </w:r>
      </w:hyperlink>
      <w:r w:rsidRPr="002E07B1">
        <w:rPr>
          <w:rFonts w:asciiTheme="minorHAnsi" w:hAnsiTheme="minorHAnsi"/>
          <w:color w:val="000000" w:themeColor="text1"/>
        </w:rPr>
        <w:t xml:space="preserve"> - </w:t>
      </w:r>
      <w:hyperlink r:id="rId9" w:history="1">
        <w:r w:rsidRPr="002E07B1">
          <w:rPr>
            <w:rFonts w:asciiTheme="minorHAnsi" w:hAnsiTheme="minorHAnsi"/>
            <w:color w:val="000000" w:themeColor="text1"/>
          </w:rPr>
          <w:t>десятую</w:t>
        </w:r>
      </w:hyperlink>
      <w:r w:rsidRPr="002E07B1">
        <w:rPr>
          <w:rFonts w:asciiTheme="minorHAnsi" w:hAnsiTheme="minorHAnsi"/>
          <w:color w:val="000000" w:themeColor="text1"/>
        </w:rPr>
        <w:t xml:space="preserve"> считать соответственно частями десятой - тринадцатой;</w:t>
      </w:r>
    </w:p>
    <w:p w:rsidR="002E07B1" w:rsidRPr="002E07B1" w:rsidRDefault="002E07B1" w:rsidP="002E07B1">
      <w:pPr>
        <w:pStyle w:val="ConsPlusNormal"/>
        <w:spacing w:before="220"/>
        <w:ind w:firstLine="540"/>
        <w:jc w:val="both"/>
        <w:rPr>
          <w:rFonts w:asciiTheme="minorHAnsi" w:hAnsiTheme="minorHAnsi"/>
          <w:color w:val="000000" w:themeColor="text1"/>
        </w:rPr>
      </w:pPr>
      <w:r w:rsidRPr="002E07B1">
        <w:rPr>
          <w:rFonts w:asciiTheme="minorHAnsi" w:hAnsiTheme="minorHAnsi"/>
          <w:color w:val="000000" w:themeColor="text1"/>
        </w:rPr>
        <w:lastRenderedPageBreak/>
        <w:t xml:space="preserve">в </w:t>
      </w:r>
      <w:hyperlink r:id="rId10" w:history="1">
        <w:r w:rsidRPr="002E07B1">
          <w:rPr>
            <w:rFonts w:asciiTheme="minorHAnsi" w:hAnsiTheme="minorHAnsi"/>
            <w:color w:val="000000" w:themeColor="text1"/>
          </w:rPr>
          <w:t>частях одиннадцатой</w:t>
        </w:r>
      </w:hyperlink>
      <w:r w:rsidRPr="002E07B1">
        <w:rPr>
          <w:rFonts w:asciiTheme="minorHAnsi" w:hAnsiTheme="minorHAnsi"/>
          <w:color w:val="000000" w:themeColor="text1"/>
        </w:rPr>
        <w:t xml:space="preserve"> и </w:t>
      </w:r>
      <w:hyperlink r:id="rId11" w:history="1">
        <w:r w:rsidRPr="002E07B1">
          <w:rPr>
            <w:rFonts w:asciiTheme="minorHAnsi" w:hAnsiTheme="minorHAnsi"/>
            <w:color w:val="000000" w:themeColor="text1"/>
          </w:rPr>
          <w:t>тринадцатой</w:t>
        </w:r>
      </w:hyperlink>
      <w:r w:rsidRPr="002E07B1">
        <w:rPr>
          <w:rFonts w:asciiTheme="minorHAnsi" w:hAnsiTheme="minorHAnsi"/>
          <w:color w:val="000000" w:themeColor="text1"/>
        </w:rPr>
        <w:t xml:space="preserve"> слова "частью седьмой" заменить словами "частью десятой";</w:t>
      </w:r>
      <w:r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  <w:sz w:val="20"/>
        </w:rPr>
        <w:t xml:space="preserve"> </w:t>
      </w:r>
      <w:bookmarkStart w:id="0" w:name="_GoBack"/>
      <w:bookmarkEnd w:id="0"/>
    </w:p>
    <w:p w:rsidR="002E07B1" w:rsidRPr="002E07B1" w:rsidRDefault="002E07B1">
      <w:pPr>
        <w:pStyle w:val="ConsPlusNonformat"/>
        <w:jc w:val="both"/>
        <w:rPr>
          <w:rFonts w:asciiTheme="minorHAnsi" w:hAnsiTheme="minorHAnsi"/>
          <w:color w:val="000000" w:themeColor="text1"/>
        </w:rPr>
      </w:pPr>
      <w:r w:rsidRPr="002E07B1">
        <w:rPr>
          <w:rFonts w:asciiTheme="minorHAnsi" w:hAnsiTheme="minorHAnsi"/>
          <w:color w:val="000000" w:themeColor="text1"/>
        </w:rPr>
        <w:t xml:space="preserve">    2) </w:t>
      </w:r>
      <w:hyperlink r:id="rId12" w:history="1">
        <w:r w:rsidRPr="002E07B1">
          <w:rPr>
            <w:rFonts w:asciiTheme="minorHAnsi" w:hAnsiTheme="minorHAnsi"/>
            <w:color w:val="000000" w:themeColor="text1"/>
          </w:rPr>
          <w:t xml:space="preserve">пункт 2 статьи </w:t>
        </w:r>
        <w:proofErr w:type="gramStart"/>
        <w:r w:rsidRPr="002E07B1">
          <w:rPr>
            <w:rFonts w:asciiTheme="minorHAnsi" w:hAnsiTheme="minorHAnsi"/>
            <w:color w:val="000000" w:themeColor="text1"/>
          </w:rPr>
          <w:t>1</w:t>
        </w:r>
      </w:hyperlink>
      <w:r w:rsidRPr="002E07B1">
        <w:rPr>
          <w:rFonts w:asciiTheme="minorHAnsi" w:hAnsiTheme="minorHAnsi"/>
          <w:color w:val="000000" w:themeColor="text1"/>
        </w:rPr>
        <w:t xml:space="preserve">  изложить</w:t>
      </w:r>
      <w:proofErr w:type="gramEnd"/>
      <w:r w:rsidRPr="002E07B1">
        <w:rPr>
          <w:rFonts w:asciiTheme="minorHAnsi" w:hAnsiTheme="minorHAnsi"/>
          <w:color w:val="000000" w:themeColor="text1"/>
        </w:rPr>
        <w:t xml:space="preserve"> в следующей редакции:</w:t>
      </w:r>
    </w:p>
    <w:p w:rsidR="002E07B1" w:rsidRPr="002E07B1" w:rsidRDefault="002E07B1">
      <w:pPr>
        <w:pStyle w:val="ConsPlusNormal"/>
        <w:ind w:firstLine="540"/>
        <w:jc w:val="both"/>
        <w:rPr>
          <w:rFonts w:asciiTheme="minorHAnsi" w:hAnsiTheme="minorHAnsi"/>
          <w:color w:val="000000" w:themeColor="text1"/>
        </w:rPr>
      </w:pPr>
      <w:r w:rsidRPr="002E07B1">
        <w:rPr>
          <w:rFonts w:asciiTheme="minorHAnsi" w:hAnsiTheme="minorHAnsi"/>
          <w:color w:val="000000" w:themeColor="text1"/>
        </w:rPr>
        <w:t>"2) жилых помещений.".</w:t>
      </w:r>
    </w:p>
    <w:p w:rsidR="002E07B1" w:rsidRPr="002E07B1" w:rsidRDefault="002E07B1">
      <w:pPr>
        <w:pStyle w:val="ConsPlusNormal"/>
        <w:jc w:val="both"/>
        <w:rPr>
          <w:rFonts w:asciiTheme="minorHAnsi" w:hAnsiTheme="minorHAnsi"/>
          <w:color w:val="000000" w:themeColor="text1"/>
        </w:rPr>
      </w:pPr>
    </w:p>
    <w:p w:rsidR="002E07B1" w:rsidRPr="002E07B1" w:rsidRDefault="002E07B1">
      <w:pPr>
        <w:pStyle w:val="ConsPlusTitle"/>
        <w:ind w:firstLine="540"/>
        <w:jc w:val="both"/>
        <w:outlineLvl w:val="0"/>
        <w:rPr>
          <w:rFonts w:asciiTheme="minorHAnsi" w:hAnsiTheme="minorHAnsi"/>
          <w:color w:val="000000" w:themeColor="text1"/>
        </w:rPr>
      </w:pPr>
      <w:r w:rsidRPr="002E07B1">
        <w:rPr>
          <w:rFonts w:asciiTheme="minorHAnsi" w:hAnsiTheme="minorHAnsi"/>
          <w:color w:val="000000" w:themeColor="text1"/>
        </w:rPr>
        <w:t>Статья 2</w:t>
      </w:r>
    </w:p>
    <w:p w:rsidR="002E07B1" w:rsidRPr="002E07B1" w:rsidRDefault="002E07B1">
      <w:pPr>
        <w:pStyle w:val="ConsPlusNormal"/>
        <w:jc w:val="both"/>
        <w:rPr>
          <w:rFonts w:asciiTheme="minorHAnsi" w:hAnsiTheme="minorHAnsi"/>
          <w:color w:val="000000" w:themeColor="text1"/>
        </w:rPr>
      </w:pPr>
    </w:p>
    <w:p w:rsidR="002E07B1" w:rsidRPr="002E07B1" w:rsidRDefault="002E07B1">
      <w:pPr>
        <w:pStyle w:val="ConsPlusNormal"/>
        <w:ind w:firstLine="540"/>
        <w:jc w:val="both"/>
        <w:rPr>
          <w:rFonts w:asciiTheme="minorHAnsi" w:hAnsiTheme="minorHAnsi"/>
          <w:color w:val="000000" w:themeColor="text1"/>
        </w:rPr>
      </w:pPr>
      <w:r w:rsidRPr="002E07B1">
        <w:rPr>
          <w:rFonts w:asciiTheme="minorHAnsi" w:hAnsiTheme="minorHAnsi"/>
          <w:color w:val="000000" w:themeColor="text1"/>
        </w:rPr>
        <w:t>Настоящий Закон вступает в силу со дня его официального опубликования и распространяет свое действие на правоотношения, возникшие с 1 января 2020 года.</w:t>
      </w:r>
    </w:p>
    <w:p w:rsidR="002E07B1" w:rsidRPr="002E07B1" w:rsidRDefault="002E07B1">
      <w:pPr>
        <w:pStyle w:val="ConsPlusNormal"/>
        <w:jc w:val="both"/>
        <w:rPr>
          <w:rFonts w:asciiTheme="minorHAnsi" w:hAnsiTheme="minorHAnsi"/>
          <w:color w:val="000000" w:themeColor="text1"/>
        </w:rPr>
      </w:pPr>
    </w:p>
    <w:p w:rsidR="002E07B1" w:rsidRPr="002E07B1" w:rsidRDefault="002E07B1">
      <w:pPr>
        <w:pStyle w:val="ConsPlusNormal"/>
        <w:jc w:val="right"/>
        <w:rPr>
          <w:rFonts w:asciiTheme="minorHAnsi" w:hAnsiTheme="minorHAnsi"/>
          <w:color w:val="000000" w:themeColor="text1"/>
        </w:rPr>
      </w:pPr>
      <w:proofErr w:type="spellStart"/>
      <w:r w:rsidRPr="002E07B1">
        <w:rPr>
          <w:rFonts w:asciiTheme="minorHAnsi" w:hAnsiTheme="minorHAnsi"/>
          <w:color w:val="000000" w:themeColor="text1"/>
        </w:rPr>
        <w:t>И.о</w:t>
      </w:r>
      <w:proofErr w:type="spellEnd"/>
      <w:r w:rsidRPr="002E07B1">
        <w:rPr>
          <w:rFonts w:asciiTheme="minorHAnsi" w:hAnsiTheme="minorHAnsi"/>
          <w:color w:val="000000" w:themeColor="text1"/>
        </w:rPr>
        <w:t>. Губернатора</w:t>
      </w:r>
    </w:p>
    <w:p w:rsidR="002E07B1" w:rsidRPr="002E07B1" w:rsidRDefault="002E07B1">
      <w:pPr>
        <w:pStyle w:val="ConsPlusNormal"/>
        <w:jc w:val="right"/>
        <w:rPr>
          <w:rFonts w:asciiTheme="minorHAnsi" w:hAnsiTheme="minorHAnsi"/>
          <w:color w:val="000000" w:themeColor="text1"/>
        </w:rPr>
      </w:pPr>
      <w:r w:rsidRPr="002E07B1">
        <w:rPr>
          <w:rFonts w:asciiTheme="minorHAnsi" w:hAnsiTheme="minorHAnsi"/>
          <w:color w:val="000000" w:themeColor="text1"/>
        </w:rPr>
        <w:t>Волгоградской области</w:t>
      </w:r>
    </w:p>
    <w:p w:rsidR="002E07B1" w:rsidRPr="002E07B1" w:rsidRDefault="002E07B1">
      <w:pPr>
        <w:pStyle w:val="ConsPlusNormal"/>
        <w:jc w:val="right"/>
        <w:rPr>
          <w:rFonts w:asciiTheme="minorHAnsi" w:hAnsiTheme="minorHAnsi"/>
          <w:color w:val="000000" w:themeColor="text1"/>
        </w:rPr>
      </w:pPr>
      <w:r w:rsidRPr="002E07B1">
        <w:rPr>
          <w:rFonts w:asciiTheme="minorHAnsi" w:hAnsiTheme="minorHAnsi"/>
          <w:color w:val="000000" w:themeColor="text1"/>
        </w:rPr>
        <w:t>Е.А.ХАРИЧКИН</w:t>
      </w:r>
    </w:p>
    <w:p w:rsidR="002E07B1" w:rsidRPr="002E07B1" w:rsidRDefault="002E07B1">
      <w:pPr>
        <w:pStyle w:val="ConsPlusNormal"/>
        <w:rPr>
          <w:rFonts w:asciiTheme="minorHAnsi" w:hAnsiTheme="minorHAnsi"/>
          <w:color w:val="000000" w:themeColor="text1"/>
        </w:rPr>
      </w:pPr>
      <w:r w:rsidRPr="002E07B1">
        <w:rPr>
          <w:rFonts w:asciiTheme="minorHAnsi" w:hAnsiTheme="minorHAnsi"/>
          <w:color w:val="000000" w:themeColor="text1"/>
        </w:rPr>
        <w:t>26 декабря 2020 года</w:t>
      </w:r>
    </w:p>
    <w:p w:rsidR="002E07B1" w:rsidRPr="002E07B1" w:rsidRDefault="002E07B1">
      <w:pPr>
        <w:pStyle w:val="ConsPlusNormal"/>
        <w:spacing w:before="220"/>
        <w:rPr>
          <w:rFonts w:asciiTheme="minorHAnsi" w:hAnsiTheme="minorHAnsi"/>
          <w:color w:val="000000" w:themeColor="text1"/>
        </w:rPr>
      </w:pPr>
      <w:r w:rsidRPr="002E07B1">
        <w:rPr>
          <w:rFonts w:asciiTheme="minorHAnsi" w:hAnsiTheme="minorHAnsi"/>
          <w:color w:val="000000" w:themeColor="text1"/>
        </w:rPr>
        <w:t>N 133-ОД</w:t>
      </w:r>
    </w:p>
    <w:p w:rsidR="002E07B1" w:rsidRPr="002E07B1" w:rsidRDefault="002E07B1">
      <w:pPr>
        <w:pStyle w:val="ConsPlusNormal"/>
        <w:jc w:val="both"/>
        <w:rPr>
          <w:color w:val="000000" w:themeColor="text1"/>
        </w:rPr>
      </w:pPr>
    </w:p>
    <w:p w:rsidR="00247AE1" w:rsidRDefault="00247AE1"/>
    <w:sectPr w:rsidR="00247AE1" w:rsidSect="005C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B1"/>
    <w:rsid w:val="00247AE1"/>
    <w:rsid w:val="002E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FBC8FE-D928-4B43-95FF-7AC8A374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07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0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07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1592E4D538B12C1D8654D1B637382E2961612D3450FDB8C96F8427579F95EAD6D6FA384F504988EAA65DFE43CB9E5BF17243F775627365R7QE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1592E4D538B12C1D8654D1B637382E2961612D3450FDB8C96F8427579F95EAD6D6FA384F50498CE2AD09AF0E95C708BD394EF1637E73636171871ARDQ6M" TargetMode="External"/><Relationship Id="rId12" Type="http://schemas.openxmlformats.org/officeDocument/2006/relationships/hyperlink" Target="consultantplus://offline/ref=181592E4D538B12C1D8654D1B637382E2961612D3450FDB8C96F8427579F95EAD6D6FA384F504988E4A65DFE43CB9E5BF17243F775627365R7Q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1592E4D538B12C1D8654D1B637382E2961612D3450FDB8C96F8427579F95EAD6D6FA384F504988E6A65DFE43CB9E5BF17243F775627365R7QEM" TargetMode="External"/><Relationship Id="rId11" Type="http://schemas.openxmlformats.org/officeDocument/2006/relationships/hyperlink" Target="consultantplus://offline/ref=181592E4D538B12C1D8654D1B637382E2961612D3450FDB8C96F8427579F95EAD6D6FA384F50498BE1A65DFE43CB9E5BF17243F775627365R7QEM" TargetMode="External"/><Relationship Id="rId5" Type="http://schemas.openxmlformats.org/officeDocument/2006/relationships/hyperlink" Target="consultantplus://offline/ref=181592E4D538B12C1D8654D1B637382E2961612D3450FDB8C96F8427579F95EAD6D6FA384F50498CE2AD09AF0E95C708BD394EF1637E73636171871ARDQ6M" TargetMode="External"/><Relationship Id="rId10" Type="http://schemas.openxmlformats.org/officeDocument/2006/relationships/hyperlink" Target="consultantplus://offline/ref=181592E4D538B12C1D8654D1B637382E2961612D3450FDB8C96F8427579F95EAD6D6FA384F50498BE3A65DFE43CB9E5BF17243F775627365R7QEM" TargetMode="External"/><Relationship Id="rId4" Type="http://schemas.openxmlformats.org/officeDocument/2006/relationships/hyperlink" Target="consultantplus://offline/ref=181592E4D538B12C1D8654D1B637382E2961612D3450FDB8C96F8427579F95EAD6D6FA385D501180E0A517AF03809159FBR6QDM" TargetMode="External"/><Relationship Id="rId9" Type="http://schemas.openxmlformats.org/officeDocument/2006/relationships/hyperlink" Target="consultantplus://offline/ref=181592E4D538B12C1D8654D1B637382E2961612D3450FDB8C96F8427579F95EAD6D6FA384F50498BE1A65DFE43CB9E5BF17243F775627365R7Q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Юлия Алексеевна</dc:creator>
  <cp:keywords/>
  <dc:description/>
  <cp:lastModifiedBy>Лещёва Юлия Алексеевна</cp:lastModifiedBy>
  <cp:revision>1</cp:revision>
  <dcterms:created xsi:type="dcterms:W3CDTF">2021-04-28T12:16:00Z</dcterms:created>
  <dcterms:modified xsi:type="dcterms:W3CDTF">2021-04-28T12:18:00Z</dcterms:modified>
</cp:coreProperties>
</file>